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Информация о деятельности </w:t>
      </w:r>
    </w:p>
    <w:p>
      <w:pPr>
        <w:pStyle w:val="Normal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за январь – декабрь 2022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71"/>
        <w:gridCol w:w="1542"/>
      </w:tblGrid>
      <w:tr>
        <w:trPr>
          <w:tblHeader w:val="true"/>
          <w:trHeight w:val="308" w:hRule="atLeast"/>
        </w:trPr>
        <w:tc>
          <w:tcPr>
            <w:tcW w:w="8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5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77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firstLine="720"/>
              <w:jc w:val="center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</w:t>
            </w:r>
            <w:r>
              <w:rPr>
                <w:b/>
                <w:bCs/>
                <w:sz w:val="26"/>
              </w:rPr>
              <w:t>. Контрольно-ревизионная деятельность</w:t>
            </w:r>
          </w:p>
        </w:tc>
        <w:tc>
          <w:tcPr>
            <w:tcW w:w="154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Общее количество проведенных контрольных мероприятий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Выявленный объем финансовых нарушений, всего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38/ 9510,00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23/ 7121,00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1/ 180,00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нецелевое использование бюджетных средств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4/ 487,00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прочие нарушения (кол-во/тыс.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10/ 1722,00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  <w:t>Кроме этого установлено: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 неэффективное использование бюджетных средств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520,00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</w:t>
            </w:r>
            <w:r>
              <w:rPr>
                <w:b/>
                <w:bCs/>
                <w:sz w:val="26"/>
              </w:rPr>
              <w:t>. Экспертно-аналитическая деятельность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Общее количество проведенных экспертно-аналитических мероприятий, всего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подготовлено экспертных заключений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подготовлено аналитических записок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Подготовлено методических документов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III</w:t>
            </w:r>
            <w:r>
              <w:rPr>
                <w:b/>
                <w:bCs/>
                <w:sz w:val="26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Принято мер и восстановлено средств в бюджет, всего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9100,00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восстановлено в бюджет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9075,00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IV</w:t>
            </w:r>
            <w:r>
              <w:rPr>
                <w:b/>
                <w:sz w:val="26"/>
              </w:rPr>
              <w:t>. Реализация полномочия по составлению протоколов</w:t>
            </w:r>
          </w:p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протоколов (шт.)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Сумма наложенных штрафов (тыс. руб.)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lang w:val="en-US"/>
              </w:rPr>
              <w:t>V</w:t>
            </w:r>
            <w:r>
              <w:rPr>
                <w:b/>
                <w:bCs/>
                <w:sz w:val="26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Численность сотрудников, всего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 штату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  <w:tr>
        <w:trPr/>
        <w:tc>
          <w:tcPr>
            <w:tcW w:w="87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 договорной основе (ед.)</w:t>
            </w: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</w:r>
          </w:p>
        </w:tc>
      </w:tr>
    </w:tbl>
    <w:p>
      <w:pPr>
        <w:pStyle w:val="Normal"/>
        <w:tabs>
          <w:tab w:val="clear" w:pos="708"/>
          <w:tab w:val="left" w:pos="23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f41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074d0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074d0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090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83D0-94C2-4BCA-9A42-C7D889D2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LibreOffice/7.5.6.2$Linux_X86_64 LibreOffice_project/50$Build-2</Application>
  <AppVersion>15.0000</AppVersion>
  <Pages>1</Pages>
  <Words>223</Words>
  <Characters>1639</Characters>
  <CharactersWithSpaces>1811</CharactersWithSpaces>
  <Paragraphs>53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2022-06-07T06:40:00Z</dcterms:created>
  <dc:creator>User</dc:creator>
  <dc:description/>
  <dc:language>ru-RU</dc:language>
  <cp:lastModifiedBy/>
  <cp:lastPrinted>2017-11-14T05:22:00Z</cp:lastPrinted>
  <dcterms:modified xsi:type="dcterms:W3CDTF">2024-10-02T08:38:35Z</dcterms:modified>
  <cp:revision>11</cp:revision>
  <dc:subject/>
  <dc:title>От 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